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7FCCB979"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870448">
        <w:rPr>
          <w:rFonts w:ascii="Calibri" w:hAnsi="Calibri" w:cs="Calibri"/>
          <w:b/>
          <w:sz w:val="22"/>
          <w:szCs w:val="22"/>
        </w:rPr>
        <w:t>b</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w:t>
      </w:r>
      <w:r w:rsidR="006D69A7" w:rsidRPr="006D69A7">
        <w:rPr>
          <w:rFonts w:cs="Calibri"/>
          <w:b/>
        </w:rPr>
        <w:t xml:space="preserve"> </w:t>
      </w:r>
      <w:r w:rsidR="006D69A7">
        <w:rPr>
          <w:rFonts w:cs="Calibri"/>
          <w:b/>
        </w:rPr>
        <w:t>GKZP.271.PN.2.2019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6BF4610C" w:rsidR="00B64A0B" w:rsidRPr="00C04F8E" w:rsidRDefault="00BE4A51" w:rsidP="00893501">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w zakresie Częś</w:t>
            </w:r>
            <w:r w:rsidR="00870448">
              <w:rPr>
                <w:rFonts w:ascii="Calibri" w:hAnsi="Calibri" w:cs="Calibri"/>
                <w:sz w:val="22"/>
                <w:szCs w:val="22"/>
              </w:rPr>
              <w:t>ci nr 2</w:t>
            </w:r>
            <w:r w:rsidR="00E41F62">
              <w:rPr>
                <w:rFonts w:ascii="Calibri" w:hAnsi="Calibri" w:cs="Calibri"/>
                <w:sz w:val="22"/>
                <w:szCs w:val="22"/>
              </w:rPr>
              <w:t xml:space="preserve"> </w:t>
            </w:r>
            <w:r w:rsidRPr="00C04F8E">
              <w:rPr>
                <w:rFonts w:ascii="Calibri" w:hAnsi="Calibri" w:cs="Calibri"/>
                <w:sz w:val="22"/>
                <w:szCs w:val="22"/>
              </w:rPr>
              <w:t xml:space="preserve">stanowi </w:t>
            </w:r>
            <w:r w:rsidRPr="00C04F8E">
              <w:rPr>
                <w:rFonts w:ascii="Calibri" w:hAnsi="Calibri" w:cs="Calibri"/>
                <w:b/>
                <w:bCs/>
                <w:sz w:val="22"/>
                <w:szCs w:val="22"/>
              </w:rPr>
              <w:t xml:space="preserve">załącznik nr </w:t>
            </w:r>
            <w:r w:rsidR="00893501">
              <w:rPr>
                <w:rFonts w:ascii="Calibri" w:hAnsi="Calibri" w:cs="Calibri"/>
                <w:b/>
                <w:bCs/>
                <w:sz w:val="22"/>
                <w:szCs w:val="22"/>
              </w:rPr>
              <w:t>5</w:t>
            </w:r>
            <w:r w:rsidR="00893501" w:rsidRPr="00C04F8E">
              <w:rPr>
                <w:rFonts w:ascii="Calibri" w:hAnsi="Calibri" w:cs="Calibri"/>
                <w:b/>
                <w:bCs/>
                <w:sz w:val="22"/>
                <w:szCs w:val="22"/>
              </w:rPr>
              <w:t xml:space="preserve"> </w:t>
            </w:r>
            <w:r w:rsidRPr="00C04F8E">
              <w:rPr>
                <w:rFonts w:ascii="Calibri" w:hAnsi="Calibri" w:cs="Calibri"/>
                <w:b/>
                <w:bCs/>
                <w:sz w:val="22"/>
                <w:szCs w:val="22"/>
              </w:rPr>
              <w:t>do niniejszej umowy</w:t>
            </w:r>
            <w:r w:rsidR="00870448">
              <w:rPr>
                <w:rFonts w:ascii="Calibri" w:hAnsi="Calibri" w:cs="Calibri"/>
                <w:b/>
                <w:bCs/>
                <w:sz w:val="22"/>
                <w:szCs w:val="22"/>
              </w:rPr>
              <w:t xml:space="preserve"> (załącznik nr 4b</w:t>
            </w:r>
            <w:r w:rsidR="00E41F62">
              <w:rPr>
                <w:rFonts w:ascii="Calibri" w:hAnsi="Calibri" w:cs="Calibri"/>
                <w:b/>
                <w:bCs/>
                <w:sz w:val="22"/>
                <w:szCs w:val="22"/>
              </w:rPr>
              <w:t xml:space="preserve">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193C0093" w:rsidR="00B64A0B" w:rsidRPr="00C04F8E" w:rsidRDefault="00BE4A51" w:rsidP="00870448">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 xml:space="preserve">w zakresie Części nr </w:t>
      </w:r>
      <w:r w:rsidR="00870448">
        <w:rPr>
          <w:b/>
          <w:sz w:val="22"/>
          <w:szCs w:val="22"/>
          <w:u w:val="single"/>
        </w:rPr>
        <w:t>2</w:t>
      </w:r>
      <w:r w:rsidR="00E41F62" w:rsidRPr="00E41F62">
        <w:rPr>
          <w:b/>
          <w:sz w:val="22"/>
          <w:szCs w:val="22"/>
        </w:rPr>
        <w:t xml:space="preserve">, tj. </w:t>
      </w:r>
      <w:r w:rsidR="00870448">
        <w:rPr>
          <w:b/>
          <w:sz w:val="22"/>
          <w:szCs w:val="22"/>
        </w:rPr>
        <w:t>b</w:t>
      </w:r>
      <w:r w:rsidR="00870448" w:rsidRPr="00870448">
        <w:rPr>
          <w:b/>
          <w:sz w:val="22"/>
          <w:szCs w:val="22"/>
        </w:rPr>
        <w:t>udowa sieci LAN w systemie zaprojektuj i wybuduj w Gminie Leszno</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 xml:space="preserve">załącznik nr </w:t>
      </w:r>
      <w:r w:rsidR="00893501">
        <w:rPr>
          <w:b/>
          <w:sz w:val="22"/>
          <w:szCs w:val="22"/>
        </w:rPr>
        <w:t>5</w:t>
      </w:r>
      <w:r w:rsidR="00893501" w:rsidRPr="00C04F8E">
        <w:rPr>
          <w:b/>
          <w:sz w:val="22"/>
          <w:szCs w:val="22"/>
        </w:rPr>
        <w:t xml:space="preserve"> </w:t>
      </w:r>
      <w:r w:rsidR="000D702D" w:rsidRPr="00C04F8E">
        <w:rPr>
          <w:b/>
          <w:sz w:val="22"/>
          <w:szCs w:val="22"/>
        </w:rPr>
        <w:t>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3DAD5244" w:rsidR="000D702D" w:rsidRPr="00E41F62" w:rsidRDefault="000D702D" w:rsidP="00870448">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870448" w:rsidRPr="00870448">
        <w:rPr>
          <w:rFonts w:eastAsia="Times New Roman"/>
          <w:b/>
          <w:bCs/>
        </w:rPr>
        <w:t>Urząd Gminy Leszno, Al. Wojska Polskiego 21, 05-084 Leszno</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189E6CE4"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wykonanie budowlanej dokumentacji projektowej sieci LAN</w:t>
      </w:r>
      <w:r w:rsidR="00010A66" w:rsidRPr="00C04F8E">
        <w:rPr>
          <w:rFonts w:eastAsia="Times New Roman"/>
          <w:bCs/>
        </w:rPr>
        <w:t>,</w:t>
      </w:r>
      <w:r w:rsidRPr="00C04F8E">
        <w:rPr>
          <w:rFonts w:eastAsia="Times New Roman"/>
          <w:bCs/>
        </w:rPr>
        <w:t xml:space="preserve"> </w:t>
      </w:r>
    </w:p>
    <w:p w14:paraId="10C419B5"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instalację sieci LAN</w:t>
      </w:r>
      <w:r w:rsidR="00010A66" w:rsidRPr="00C04F8E">
        <w:rPr>
          <w:rFonts w:eastAsia="Times New Roman"/>
          <w:bCs/>
        </w:rPr>
        <w:t>,</w:t>
      </w:r>
    </w:p>
    <w:p w14:paraId="4E1AF50B" w14:textId="00856ED9" w:rsidR="000D702D" w:rsidRPr="00C04F8E" w:rsidRDefault="000D702D" w:rsidP="00870448">
      <w:pPr>
        <w:pStyle w:val="Akapitzlist"/>
        <w:numPr>
          <w:ilvl w:val="0"/>
          <w:numId w:val="37"/>
        </w:numPr>
        <w:spacing w:after="0" w:line="240" w:lineRule="auto"/>
        <w:ind w:left="1134"/>
        <w:rPr>
          <w:rFonts w:eastAsia="Times New Roman"/>
          <w:bCs/>
        </w:rPr>
      </w:pPr>
      <w:r w:rsidRPr="00C04F8E">
        <w:rPr>
          <w:rFonts w:eastAsia="Times New Roman"/>
          <w:bCs/>
        </w:rPr>
        <w:t>dostawę, instalację i konfigurację</w:t>
      </w:r>
      <w:r w:rsidR="00010A66" w:rsidRPr="00C04F8E">
        <w:rPr>
          <w:rFonts w:eastAsia="Times New Roman"/>
          <w:bCs/>
        </w:rPr>
        <w:t xml:space="preserve">, </w:t>
      </w:r>
      <w:r w:rsidRPr="00C04F8E">
        <w:rPr>
          <w:rFonts w:eastAsia="Times New Roman"/>
          <w:bCs/>
        </w:rPr>
        <w:t xml:space="preserve"> ur</w:t>
      </w:r>
      <w:r w:rsidR="00870448">
        <w:rPr>
          <w:rFonts w:eastAsia="Times New Roman"/>
          <w:bCs/>
        </w:rPr>
        <w:t xml:space="preserve">ządzeń aktywnych LAN </w:t>
      </w:r>
      <w:r w:rsidR="00870448" w:rsidRPr="00870448">
        <w:rPr>
          <w:rFonts w:eastAsia="Times New Roman"/>
          <w:bCs/>
        </w:rPr>
        <w:t>i WiFi</w:t>
      </w:r>
    </w:p>
    <w:p w14:paraId="7B377AFD"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dostawę, instalację szafy serwerowej</w:t>
      </w:r>
      <w:r w:rsidR="00010A66" w:rsidRPr="00C04F8E">
        <w:rPr>
          <w:rFonts w:eastAsia="Times New Roman"/>
          <w:bCs/>
        </w:rPr>
        <w:t>,</w:t>
      </w:r>
    </w:p>
    <w:p w14:paraId="1A762D81" w14:textId="0D7705DF" w:rsidR="000D702D" w:rsidRPr="00C04F8E" w:rsidRDefault="00870448" w:rsidP="00870448">
      <w:pPr>
        <w:pStyle w:val="Akapitzlist"/>
        <w:numPr>
          <w:ilvl w:val="0"/>
          <w:numId w:val="37"/>
        </w:numPr>
        <w:spacing w:after="0" w:line="240" w:lineRule="auto"/>
        <w:ind w:left="1134"/>
        <w:rPr>
          <w:rFonts w:eastAsia="Times New Roman"/>
          <w:bCs/>
        </w:rPr>
      </w:pPr>
      <w:r w:rsidRPr="00870448">
        <w:rPr>
          <w:rFonts w:eastAsia="Times New Roman"/>
          <w:bCs/>
        </w:rPr>
        <w:t>dostawę, instalację i konfigurację UTM</w:t>
      </w:r>
      <w:r w:rsidR="00010A66" w:rsidRPr="00C04F8E">
        <w:rPr>
          <w:rFonts w:eastAsia="Times New Roman"/>
          <w:bCs/>
        </w:rPr>
        <w:t>,</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2DEEBA94"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 xml:space="preserve">załącznik nr </w:t>
      </w:r>
      <w:r w:rsidR="00893501">
        <w:rPr>
          <w:rFonts w:eastAsia="Times New Roman"/>
          <w:b/>
          <w:bCs/>
        </w:rPr>
        <w:t>5</w:t>
      </w:r>
      <w:r w:rsidR="00893501" w:rsidRPr="00C04F8E">
        <w:rPr>
          <w:rFonts w:eastAsia="Times New Roman"/>
          <w:b/>
          <w:bCs/>
        </w:rPr>
        <w:t xml:space="preserve"> </w:t>
      </w:r>
      <w:r w:rsidRPr="00C04F8E">
        <w:rPr>
          <w:rFonts w:eastAsia="Times New Roman"/>
          <w:b/>
          <w:bCs/>
        </w:rPr>
        <w:t>do umowy</w:t>
      </w:r>
      <w:r w:rsidR="00870448">
        <w:rPr>
          <w:rFonts w:eastAsia="Times New Roman"/>
          <w:b/>
          <w:bCs/>
        </w:rPr>
        <w:t xml:space="preserve"> (Załączniki nr 4b</w:t>
      </w:r>
      <w:r w:rsidR="00F208F1">
        <w:rPr>
          <w:rFonts w:eastAsia="Times New Roman"/>
          <w:b/>
          <w:bCs/>
        </w:rPr>
        <w:t xml:space="preserve"> do SIWZ)</w:t>
      </w:r>
      <w:r w:rsidRPr="00C04F8E">
        <w:rPr>
          <w:rFonts w:eastAsia="Times New Roman"/>
          <w:b/>
          <w:bCs/>
        </w:rPr>
        <w:t>.</w:t>
      </w:r>
    </w:p>
    <w:p w14:paraId="40D5C719" w14:textId="30F86FEB" w:rsidR="000D702D" w:rsidRPr="00C04F8E" w:rsidRDefault="00EA2EC1" w:rsidP="00EA2EC1">
      <w:pPr>
        <w:pStyle w:val="Akapitzlist"/>
        <w:numPr>
          <w:ilvl w:val="0"/>
          <w:numId w:val="38"/>
        </w:numPr>
        <w:spacing w:after="0" w:line="240" w:lineRule="auto"/>
        <w:ind w:left="284" w:hanging="284"/>
        <w:jc w:val="both"/>
        <w:rPr>
          <w:rFonts w:eastAsia="Times New Roman"/>
          <w:bCs/>
        </w:rPr>
      </w:pPr>
      <w:r>
        <w:rPr>
          <w:rFonts w:eastAsia="Times New Roman"/>
          <w:bCs/>
        </w:rPr>
        <w:t>Budynek wskazany w ust 3 powyżej nie jest objęty</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Należność za wykonanie umowy będzie wpłacona przez Zamawiającego na konto bankowe Wykonawcy, lub odpowiednio Podwykonawcy lub dalszego Podwykonawcy, wskazane przez 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w:t>
      </w:r>
      <w:r w:rsidRPr="00C04F8E">
        <w:rPr>
          <w:rFonts w:ascii="Calibri" w:hAnsi="Calibri" w:cs="Calibri"/>
          <w:sz w:val="22"/>
          <w:szCs w:val="22"/>
        </w:rPr>
        <w:lastRenderedPageBreak/>
        <w:t xml:space="preserve">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lastRenderedPageBreak/>
        <w:t>Podstawą płatności bezpośredniej dokonywanej przez Zamawiającego na rzecz Podwykonawcy lub dalszego Podwykonawcy będzie kopia faktury lub rachunku Podwykonawcy lub dalszego Podwykonawcy, potwierdzona za zgodność z oryginałem przez Podwykonawcę lub dalszego 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 xml:space="preserve">niż osoby wskazane w Wykazie, stanowiącym załącznik do oferty. Wykonawca </w:t>
      </w:r>
      <w:r w:rsidRPr="00C04F8E">
        <w:rPr>
          <w:rFonts w:ascii="Calibri" w:hAnsi="Calibri" w:cs="Calibri"/>
          <w:sz w:val="22"/>
          <w:szCs w:val="22"/>
        </w:rPr>
        <w:lastRenderedPageBreak/>
        <w:t>niezwłocznie powiadomi pisemnie Zamawiającego o zamiarze zmiany osób wskazanych w Wykazie osób uczestniczących w wykonywaniu zamówienia, ze wskazaniem nazwiska/nazwisk 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244D3823"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C04F8E">
        <w:rPr>
          <w:rFonts w:ascii="Calibri" w:hAnsi="Calibri" w:cs="Calibri"/>
          <w:sz w:val="22"/>
          <w:szCs w:val="22"/>
          <w:u w:val="single"/>
        </w:rPr>
        <w:t xml:space="preserve"> </w:t>
      </w:r>
      <w:r w:rsidR="002D5966" w:rsidRPr="00893501">
        <w:rPr>
          <w:rFonts w:ascii="Calibri" w:hAnsi="Calibri" w:cs="Calibri"/>
          <w:b/>
          <w:sz w:val="22"/>
          <w:szCs w:val="22"/>
          <w:u w:val="single"/>
        </w:rPr>
        <w:t>prace ogólnobudowlane</w:t>
      </w:r>
      <w:r w:rsidR="00893501" w:rsidRPr="00893501">
        <w:rPr>
          <w:rFonts w:ascii="Calibri" w:hAnsi="Calibri" w:cs="Calibri"/>
          <w:b/>
          <w:sz w:val="22"/>
          <w:szCs w:val="22"/>
          <w:u w:val="single"/>
        </w:rPr>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 xml:space="preserve">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w:t>
      </w:r>
      <w:r w:rsidRPr="00C04F8E">
        <w:lastRenderedPageBreak/>
        <w:t>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019B5B23"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73A33280" w14:textId="69609EB9"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w:t>
      </w:r>
    </w:p>
    <w:p w14:paraId="56D53CFA" w14:textId="76D75CB6" w:rsidR="00B64A0B" w:rsidRPr="00C04F8E" w:rsidRDefault="00BE4A51" w:rsidP="00893501">
      <w:pPr>
        <w:tabs>
          <w:tab w:val="left" w:pos="3402"/>
          <w:tab w:val="left" w:pos="3544"/>
          <w:tab w:val="left" w:pos="4536"/>
          <w:tab w:val="left" w:pos="4820"/>
          <w:tab w:val="left" w:pos="5387"/>
          <w:tab w:val="left" w:pos="5670"/>
          <w:tab w:val="left" w:pos="5812"/>
          <w:tab w:val="left" w:pos="7371"/>
        </w:tabs>
        <w:ind w:left="360"/>
        <w:jc w:val="both"/>
        <w:rPr>
          <w:rFonts w:ascii="Calibri" w:hAnsi="Calibri" w:cs="Calibri"/>
          <w:sz w:val="22"/>
          <w:szCs w:val="22"/>
        </w:rPr>
      </w:pPr>
      <w:r w:rsidRPr="00C04F8E">
        <w:rPr>
          <w:rFonts w:ascii="Calibri" w:hAnsi="Calibri" w:cs="Calibri"/>
          <w:sz w:val="22"/>
          <w:szCs w:val="22"/>
        </w:rPr>
        <w:t>.</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3F0CAD60" w:rsidR="00B64A0B" w:rsidRPr="00C04F8E" w:rsidRDefault="00BE4A51" w:rsidP="00381C31">
      <w:pPr>
        <w:pStyle w:val="Akapitzlist1"/>
        <w:numPr>
          <w:ilvl w:val="0"/>
          <w:numId w:val="3"/>
        </w:numPr>
        <w:rPr>
          <w:sz w:val="22"/>
          <w:szCs w:val="22"/>
        </w:rPr>
      </w:pPr>
      <w:r w:rsidRPr="00C04F8E">
        <w:rPr>
          <w:sz w:val="22"/>
          <w:szCs w:val="22"/>
        </w:rPr>
        <w:t xml:space="preserve">Dokumentacja powykonawcza oraz inne dokumenty o których mowa w ust </w:t>
      </w:r>
      <w:r w:rsidR="00893501">
        <w:rPr>
          <w:sz w:val="22"/>
          <w:szCs w:val="22"/>
        </w:rPr>
        <w:t>5</w:t>
      </w:r>
      <w:r w:rsidRPr="00C04F8E">
        <w:rPr>
          <w:sz w:val="22"/>
          <w:szCs w:val="22"/>
        </w:rPr>
        <w:t xml:space="preserve">powyżej  przekazane zostaną przez Wykonawcę w 2 egz. w formie papierowej oraz w formie elektronicznej- na nośniku CD.   </w:t>
      </w:r>
    </w:p>
    <w:p w14:paraId="225EC60A" w14:textId="64640E12" w:rsidR="00B64A0B" w:rsidRPr="00C04F8E" w:rsidRDefault="00BE4A51" w:rsidP="007957FB">
      <w:pPr>
        <w:pStyle w:val="Akapitzlist1"/>
        <w:numPr>
          <w:ilvl w:val="0"/>
          <w:numId w:val="3"/>
        </w:numPr>
        <w:rPr>
          <w:sz w:val="22"/>
          <w:szCs w:val="22"/>
        </w:rPr>
      </w:pPr>
      <w:r w:rsidRPr="00C04F8E">
        <w:rPr>
          <w:sz w:val="22"/>
          <w:szCs w:val="22"/>
        </w:rPr>
        <w:t xml:space="preserve">Zamawiający potwierdzi odbiór dokumentów wymienionych w ust. </w:t>
      </w:r>
      <w:r w:rsidR="00893501">
        <w:rPr>
          <w:sz w:val="22"/>
          <w:szCs w:val="22"/>
        </w:rPr>
        <w:t>5</w:t>
      </w:r>
      <w:r w:rsidR="00893501" w:rsidRPr="00C04F8E">
        <w:rPr>
          <w:sz w:val="22"/>
          <w:szCs w:val="22"/>
        </w:rPr>
        <w:t xml:space="preserve"> </w:t>
      </w:r>
      <w:r w:rsidRPr="00C04F8E">
        <w:rPr>
          <w:sz w:val="22"/>
          <w:szCs w:val="22"/>
        </w:rPr>
        <w:t xml:space="preserve">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6D7CAC57"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w:t>
      </w:r>
      <w:r w:rsidR="00893501">
        <w:rPr>
          <w:sz w:val="22"/>
          <w:szCs w:val="22"/>
        </w:rPr>
        <w:t>5</w:t>
      </w:r>
      <w:r w:rsidR="00893501" w:rsidRPr="00C04F8E">
        <w:rPr>
          <w:sz w:val="22"/>
          <w:szCs w:val="22"/>
        </w:rPr>
        <w:t xml:space="preserve"> </w:t>
      </w:r>
      <w:r w:rsidRPr="00C04F8E">
        <w:rPr>
          <w:sz w:val="22"/>
          <w:szCs w:val="22"/>
        </w:rPr>
        <w:t xml:space="preserve">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62EC83B5" w:rsidR="00B64A0B" w:rsidRPr="00C04F8E" w:rsidRDefault="00BE4A51" w:rsidP="007957FB">
      <w:pPr>
        <w:pStyle w:val="Akapitzlist1"/>
        <w:numPr>
          <w:ilvl w:val="0"/>
          <w:numId w:val="3"/>
        </w:numPr>
        <w:rPr>
          <w:b/>
          <w:sz w:val="22"/>
          <w:szCs w:val="22"/>
        </w:rPr>
      </w:pPr>
      <w:r w:rsidRPr="00C04F8E">
        <w:rPr>
          <w:sz w:val="22"/>
          <w:szCs w:val="22"/>
        </w:rPr>
        <w:t xml:space="preserve">Ostateczny odbiór robót budowlanych nastąpi po stwierdzeniu przez Zamawiającego, że roboty budowlane zostały zakończone, dokumentacja wskazana w ust. </w:t>
      </w:r>
      <w:r w:rsidR="00893501">
        <w:rPr>
          <w:sz w:val="22"/>
          <w:szCs w:val="22"/>
        </w:rPr>
        <w:t>5</w:t>
      </w:r>
      <w:r w:rsidR="00893501" w:rsidRPr="00C04F8E">
        <w:rPr>
          <w:sz w:val="22"/>
          <w:szCs w:val="22"/>
        </w:rPr>
        <w:t xml:space="preserve"> </w:t>
      </w:r>
      <w:r w:rsidRPr="00C04F8E">
        <w:rPr>
          <w:sz w:val="22"/>
          <w:szCs w:val="22"/>
        </w:rPr>
        <w:t xml:space="preserve">została przekazana, jest kompletna i nie zawiera wad oraz nie stwierdza się usterek i wad w zakresie wykonania robót </w:t>
      </w:r>
      <w:r w:rsidRPr="00C04F8E">
        <w:rPr>
          <w:sz w:val="22"/>
          <w:szCs w:val="22"/>
        </w:rPr>
        <w:lastRenderedPageBreak/>
        <w:t>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terminie 7 dni od 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lastRenderedPageBreak/>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Z uwagi na fakt, iż przedmiotem zamówienia są roboty budowlane w miejscu podlegającym bezpośredniemu nadzorowi Zamawiającego, przed przystąpieniem do wykonania przedmiotu zamówienia, Wykonawca ma obowiązek podania nazwy albo imion i nazwisk oraz danych 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downictwie, zgodnie z  ustawą 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ramach realizacji niniejszej umowy powinny być oznakowane zgodnie z Podręcznikiem 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 xml:space="preserve">zapoznania się ze wszystkimi dostępnymi dokumentami dotyczącymi projektowanej inwestycji. Przed rozpoczęciem robót Wykonawca powinien zapoznać się z obiektem, w </w:t>
      </w:r>
      <w:r w:rsidRPr="00C04F8E">
        <w:rPr>
          <w:rFonts w:ascii="Calibri" w:hAnsi="Calibri" w:cs="Calibri"/>
          <w:sz w:val="22"/>
          <w:szCs w:val="22"/>
        </w:rPr>
        <w:lastRenderedPageBreak/>
        <w:t>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605897A3"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Pozostałe obowiązki Wykonawcy związane z realizacją przedmiotu zamówienia , niewymienione w ust 8 powyżej, określa załącznik nr </w:t>
      </w:r>
      <w:r w:rsidR="00AB0F92">
        <w:rPr>
          <w:rFonts w:asciiTheme="minorHAnsi" w:hAnsiTheme="minorHAnsi" w:cstheme="minorHAnsi"/>
        </w:rPr>
        <w:t>5</w:t>
      </w:r>
      <w:r w:rsidR="00AB0F92" w:rsidRPr="00C04F8E">
        <w:rPr>
          <w:rFonts w:asciiTheme="minorHAnsi" w:hAnsiTheme="minorHAnsi" w:cstheme="minorHAnsi"/>
        </w:rPr>
        <w:t xml:space="preserve"> </w:t>
      </w:r>
      <w:r w:rsidRPr="00C04F8E">
        <w:rPr>
          <w:rFonts w:asciiTheme="minorHAnsi" w:hAnsiTheme="minorHAnsi" w:cstheme="minorHAnsi"/>
        </w:rPr>
        <w:t>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lastRenderedPageBreak/>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Wykonawca nie ma prawa do zatrudniania przy wykonywaniu przedmiotu umowy w jakimkolwiek charakterze osób zatrudnionych u  Zamawiającego, pod rygorem odstąpienia przez Zamawiającego 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Wykonawca zobowiązany jest zapłacić Zamawiającemu karę umowną w wysokości 30 %  wynagrodzenia brutto, o którym mowa w § 4 ust. 1, w przypadku odstąpienia przez Wykonawcę lub Zamawiającego od Umowy lub jej części z powodu okoliczności, za które odpowiada 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w:t>
      </w:r>
      <w:r w:rsidRPr="00C04F8E">
        <w:rPr>
          <w:rFonts w:ascii="Calibri" w:hAnsi="Calibri" w:cs="Calibri"/>
          <w:sz w:val="22"/>
          <w:szCs w:val="22"/>
        </w:rPr>
        <w:lastRenderedPageBreak/>
        <w:t xml:space="preserve">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lastRenderedPageBreak/>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lastRenderedPageBreak/>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W przypadku wystąpienia którejkolwiek z okoliczności wymienionych w niniejszym ustępie termin wykonania umowy może ulec odpowiedniemu przedłużeniu o czas niezbędny do 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lastRenderedPageBreak/>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Jeśli w toku wykonywania przedmiotu umowy Wykonawca stwierdzi zaistnienie okoliczności, o których mowa w ust. 3 powyżej, a które dają podstawę do oceny, że jakiekolwiek jego czynności nie zostaną wykonane w terminie określonym w Umowie lub wskazanym przez Zamawiającego, 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lastRenderedPageBreak/>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 xml:space="preserve">Jeśli usunięcie wady lub usterki ze względów technicznych nie jest możliwe w terminie określonym w ust 11 powyżej, Wykonawca zobowiązany jest powiadomić o tym Zamawiającego. Zamawiający </w:t>
      </w:r>
      <w:r>
        <w:rPr>
          <w:sz w:val="22"/>
          <w:szCs w:val="22"/>
        </w:rPr>
        <w:lastRenderedPageBreak/>
        <w:t>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lastRenderedPageBreak/>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 xml:space="preserve">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w:t>
      </w:r>
      <w:r w:rsidRPr="00C04F8E">
        <w:rPr>
          <w:sz w:val="22"/>
          <w:szCs w:val="22"/>
        </w:rPr>
        <w:lastRenderedPageBreak/>
        <w:t>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41BE3F80" w:rsidR="00B64A0B" w:rsidRPr="00F208F1" w:rsidRDefault="00CD1742" w:rsidP="00AB0F92">
      <w:pPr>
        <w:pStyle w:val="Akapitzlist"/>
        <w:numPr>
          <w:ilvl w:val="0"/>
          <w:numId w:val="44"/>
        </w:numPr>
        <w:spacing w:after="0" w:line="240" w:lineRule="auto"/>
        <w:ind w:left="284" w:hanging="284"/>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w:t>
      </w:r>
      <w:r w:rsidR="00AB0F92">
        <w:t xml:space="preserve"> </w:t>
      </w:r>
      <w:r w:rsidR="00AB0F92" w:rsidRPr="00AB0F92">
        <w:t>50.000, 00 zł ( pięćdziesiąt tysięcy złotych 00/100)</w:t>
      </w:r>
      <w:r w:rsidRPr="00F208F1">
        <w:t>,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38D84913" w14:textId="7CEEAF34" w:rsidR="00B64A0B" w:rsidRPr="00C04F8E" w:rsidRDefault="007872B2" w:rsidP="00F81AAF">
      <w:pPr>
        <w:pStyle w:val="Akapitzlist1"/>
        <w:ind w:left="357" w:hanging="357"/>
        <w:jc w:val="center"/>
        <w:rPr>
          <w:b/>
          <w:sz w:val="22"/>
          <w:szCs w:val="22"/>
        </w:rPr>
      </w:pPr>
      <w:r w:rsidRPr="00C04F8E">
        <w:rPr>
          <w:b/>
          <w:sz w:val="22"/>
          <w:szCs w:val="22"/>
        </w:rPr>
        <w:t>p</w:t>
      </w:r>
      <w:r w:rsidR="00BE4A51" w:rsidRPr="00C04F8E">
        <w:rPr>
          <w:b/>
          <w:sz w:val="22"/>
          <w:szCs w:val="22"/>
        </w:rPr>
        <w:t>oniedziałek</w:t>
      </w:r>
      <w:r w:rsidR="008A21F2" w:rsidRPr="00C04F8E">
        <w:rPr>
          <w:b/>
          <w:sz w:val="22"/>
          <w:szCs w:val="22"/>
        </w:rPr>
        <w:t>:</w:t>
      </w:r>
      <w:r w:rsidR="00BE4A51" w:rsidRPr="00C04F8E">
        <w:rPr>
          <w:b/>
          <w:sz w:val="22"/>
          <w:szCs w:val="22"/>
        </w:rPr>
        <w:t xml:space="preserve"> 8.00-17.00</w:t>
      </w:r>
    </w:p>
    <w:p w14:paraId="5C782336" w14:textId="2EAAE928" w:rsidR="00B64A0B" w:rsidRPr="00C04F8E" w:rsidRDefault="00BE4A51" w:rsidP="00F81AAF">
      <w:pPr>
        <w:pStyle w:val="Akapitzlist1"/>
        <w:ind w:left="357" w:hanging="357"/>
        <w:jc w:val="center"/>
        <w:rPr>
          <w:b/>
          <w:sz w:val="22"/>
          <w:szCs w:val="22"/>
        </w:rPr>
      </w:pPr>
      <w:r w:rsidRPr="00C04F8E">
        <w:rPr>
          <w:b/>
          <w:sz w:val="22"/>
          <w:szCs w:val="22"/>
        </w:rPr>
        <w:t>wtorek- piątek</w:t>
      </w:r>
      <w:r w:rsidR="008A21F2" w:rsidRPr="00C04F8E">
        <w:rPr>
          <w:b/>
          <w:sz w:val="22"/>
          <w:szCs w:val="22"/>
        </w:rPr>
        <w:t>:</w:t>
      </w:r>
      <w:r w:rsidRPr="00C04F8E">
        <w:rPr>
          <w:b/>
          <w:sz w:val="22"/>
          <w:szCs w:val="22"/>
        </w:rPr>
        <w:t xml:space="preserve"> 8.00-16.00</w:t>
      </w:r>
      <w:r w:rsidR="007872B2" w:rsidRPr="00C04F8E">
        <w:rPr>
          <w:b/>
          <w:sz w:val="22"/>
          <w:szCs w:val="22"/>
        </w:rPr>
        <w:t>,</w:t>
      </w:r>
    </w:p>
    <w:p w14:paraId="07EBA922" w14:textId="77777777" w:rsidR="00B64A0B" w:rsidRPr="00C04F8E" w:rsidRDefault="00BE4A51" w:rsidP="00F81AAF">
      <w:pPr>
        <w:pStyle w:val="Akapitzlist1"/>
        <w:numPr>
          <w:ilvl w:val="0"/>
          <w:numId w:val="16"/>
        </w:numPr>
        <w:ind w:left="357" w:hanging="357"/>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lastRenderedPageBreak/>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20E0DF81" w14:textId="77777777" w:rsidTr="00E40F1A">
        <w:tc>
          <w:tcPr>
            <w:tcW w:w="675" w:type="dxa"/>
            <w:shd w:val="clear" w:color="auto" w:fill="auto"/>
          </w:tcPr>
          <w:p w14:paraId="09684D58" w14:textId="3A96F1EF" w:rsidR="006D7C2C" w:rsidRPr="00C04F8E" w:rsidRDefault="00AB0F92" w:rsidP="00E40F1A">
            <w:pPr>
              <w:spacing w:line="276" w:lineRule="auto"/>
              <w:rPr>
                <w:rFonts w:ascii="Calibri" w:hAnsi="Calibri" w:cs="Calibri"/>
                <w:sz w:val="22"/>
                <w:szCs w:val="22"/>
              </w:rPr>
            </w:pPr>
            <w:r>
              <w:rPr>
                <w:rFonts w:ascii="Calibri" w:hAnsi="Calibri" w:cs="Calibri"/>
                <w:sz w:val="22"/>
                <w:szCs w:val="22"/>
              </w:rPr>
              <w:t>5</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4BCC2EE5" w:rsidR="006D7C2C" w:rsidRPr="00C04F8E" w:rsidRDefault="00AB0F92" w:rsidP="00E40F1A">
            <w:pPr>
              <w:spacing w:line="276" w:lineRule="auto"/>
              <w:rPr>
                <w:rFonts w:ascii="Calibri" w:hAnsi="Calibri" w:cs="Calibri"/>
                <w:sz w:val="22"/>
                <w:szCs w:val="22"/>
              </w:rPr>
            </w:pPr>
            <w:r>
              <w:rPr>
                <w:rFonts w:ascii="Calibri" w:hAnsi="Calibri" w:cs="Calibri"/>
                <w:sz w:val="22"/>
                <w:szCs w:val="22"/>
              </w:rPr>
              <w:t>6</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2689" w14:textId="77777777" w:rsidR="00DC1332" w:rsidRDefault="00DC1332">
      <w:r>
        <w:separator/>
      </w:r>
    </w:p>
  </w:endnote>
  <w:endnote w:type="continuationSeparator" w:id="0">
    <w:p w14:paraId="5D6F3CF4" w14:textId="77777777" w:rsidR="00DC1332" w:rsidRDefault="00DC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870448" w:rsidRPr="00675CE2" w:rsidRDefault="00870448"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313D29">
      <w:rPr>
        <w:rFonts w:asciiTheme="minorHAnsi" w:hAnsiTheme="minorHAnsi" w:cs="Calibri"/>
        <w:noProof/>
        <w:sz w:val="22"/>
        <w:szCs w:val="22"/>
      </w:rPr>
      <w:t>18</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313D29">
      <w:rPr>
        <w:rFonts w:asciiTheme="minorHAnsi" w:hAnsiTheme="minorHAnsi"/>
        <w:noProof/>
        <w:sz w:val="22"/>
        <w:szCs w:val="22"/>
      </w:rPr>
      <w:t>23</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9EF9D" w14:textId="77777777" w:rsidR="00DC1332" w:rsidRDefault="00DC1332">
      <w:r>
        <w:separator/>
      </w:r>
    </w:p>
  </w:footnote>
  <w:footnote w:type="continuationSeparator" w:id="0">
    <w:p w14:paraId="2A5976DE" w14:textId="77777777" w:rsidR="00DC1332" w:rsidRDefault="00DC1332">
      <w:r>
        <w:continuationSeparator/>
      </w:r>
    </w:p>
  </w:footnote>
  <w:footnote w:id="1">
    <w:p w14:paraId="301F9F89" w14:textId="77777777" w:rsidR="00870448" w:rsidRDefault="00870448">
      <w:pPr>
        <w:pStyle w:val="Tekstprzypisudolnego"/>
      </w:pPr>
      <w:r>
        <w:rPr>
          <w:rStyle w:val="Znakiprzypiswdolnych"/>
          <w:rFonts w:ascii="Calibri" w:hAnsi="Calibri"/>
        </w:rPr>
        <w:footnoteRef/>
      </w:r>
      <w:r>
        <w:tab/>
        <w:t>Zgodnie z ofertą Wykonawcy</w:t>
      </w:r>
    </w:p>
  </w:footnote>
  <w:footnote w:id="2">
    <w:p w14:paraId="4838298E" w14:textId="77777777" w:rsidR="00870448" w:rsidRDefault="00870448"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870448" w:rsidRDefault="00870448"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870448" w:rsidRDefault="00870448"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870448" w:rsidRDefault="00870448">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870448" w:rsidRDefault="00870448">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870448" w:rsidRDefault="0087044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870448" w:rsidRDefault="00870448">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870448" w:rsidRDefault="008704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870448" w:rsidRPr="00A95061" w:rsidRDefault="00870448"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870448" w:rsidRDefault="00870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544E"/>
    <w:rsid w:val="001159A4"/>
    <w:rsid w:val="00137E47"/>
    <w:rsid w:val="0014141A"/>
    <w:rsid w:val="00150F27"/>
    <w:rsid w:val="00171367"/>
    <w:rsid w:val="0017355C"/>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3D29"/>
    <w:rsid w:val="003156D3"/>
    <w:rsid w:val="00316BE2"/>
    <w:rsid w:val="0032769B"/>
    <w:rsid w:val="003320D0"/>
    <w:rsid w:val="00334BC5"/>
    <w:rsid w:val="00335583"/>
    <w:rsid w:val="0036146A"/>
    <w:rsid w:val="00365E37"/>
    <w:rsid w:val="00381C31"/>
    <w:rsid w:val="00386832"/>
    <w:rsid w:val="00391A3E"/>
    <w:rsid w:val="0039761C"/>
    <w:rsid w:val="003A4ED7"/>
    <w:rsid w:val="003B1F11"/>
    <w:rsid w:val="003C14A7"/>
    <w:rsid w:val="003F2774"/>
    <w:rsid w:val="003F2811"/>
    <w:rsid w:val="004147F2"/>
    <w:rsid w:val="0042324F"/>
    <w:rsid w:val="0042658F"/>
    <w:rsid w:val="00427753"/>
    <w:rsid w:val="00430D9F"/>
    <w:rsid w:val="00461DC5"/>
    <w:rsid w:val="00475E01"/>
    <w:rsid w:val="00476D8F"/>
    <w:rsid w:val="004814EE"/>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D7455"/>
    <w:rsid w:val="005E71C2"/>
    <w:rsid w:val="005F2FC0"/>
    <w:rsid w:val="00603396"/>
    <w:rsid w:val="00610D8E"/>
    <w:rsid w:val="00617BE2"/>
    <w:rsid w:val="006346D8"/>
    <w:rsid w:val="006447A1"/>
    <w:rsid w:val="006528A0"/>
    <w:rsid w:val="00665AD6"/>
    <w:rsid w:val="00673458"/>
    <w:rsid w:val="0067356E"/>
    <w:rsid w:val="00675CE2"/>
    <w:rsid w:val="00684E7A"/>
    <w:rsid w:val="00691AD8"/>
    <w:rsid w:val="006D2449"/>
    <w:rsid w:val="006D69A7"/>
    <w:rsid w:val="006D7C2C"/>
    <w:rsid w:val="00701F54"/>
    <w:rsid w:val="007040DD"/>
    <w:rsid w:val="00735226"/>
    <w:rsid w:val="0074137F"/>
    <w:rsid w:val="00753DD1"/>
    <w:rsid w:val="00767AC4"/>
    <w:rsid w:val="007872B2"/>
    <w:rsid w:val="00791885"/>
    <w:rsid w:val="00793DBE"/>
    <w:rsid w:val="007957FB"/>
    <w:rsid w:val="007B6D08"/>
    <w:rsid w:val="007C0BDC"/>
    <w:rsid w:val="007C330C"/>
    <w:rsid w:val="007F7048"/>
    <w:rsid w:val="00805CE4"/>
    <w:rsid w:val="00807B87"/>
    <w:rsid w:val="0081267C"/>
    <w:rsid w:val="0081382A"/>
    <w:rsid w:val="008148AC"/>
    <w:rsid w:val="0081621A"/>
    <w:rsid w:val="00821976"/>
    <w:rsid w:val="008271A1"/>
    <w:rsid w:val="00834E3D"/>
    <w:rsid w:val="00845099"/>
    <w:rsid w:val="008563AD"/>
    <w:rsid w:val="00865149"/>
    <w:rsid w:val="00870448"/>
    <w:rsid w:val="00885D79"/>
    <w:rsid w:val="008904B6"/>
    <w:rsid w:val="00893501"/>
    <w:rsid w:val="008A21F2"/>
    <w:rsid w:val="008C4077"/>
    <w:rsid w:val="008D4CA8"/>
    <w:rsid w:val="008E528E"/>
    <w:rsid w:val="008E57B5"/>
    <w:rsid w:val="008F2617"/>
    <w:rsid w:val="009067A7"/>
    <w:rsid w:val="00934B13"/>
    <w:rsid w:val="00935AF8"/>
    <w:rsid w:val="00936D32"/>
    <w:rsid w:val="0094093C"/>
    <w:rsid w:val="00945E59"/>
    <w:rsid w:val="00950049"/>
    <w:rsid w:val="0096343C"/>
    <w:rsid w:val="009A31F6"/>
    <w:rsid w:val="009C7EA7"/>
    <w:rsid w:val="009E419A"/>
    <w:rsid w:val="00A00FEC"/>
    <w:rsid w:val="00A07CFE"/>
    <w:rsid w:val="00A12D84"/>
    <w:rsid w:val="00A4055C"/>
    <w:rsid w:val="00A4250D"/>
    <w:rsid w:val="00A6793B"/>
    <w:rsid w:val="00A82463"/>
    <w:rsid w:val="00A86E06"/>
    <w:rsid w:val="00A95061"/>
    <w:rsid w:val="00AA2482"/>
    <w:rsid w:val="00AB0F92"/>
    <w:rsid w:val="00AB3295"/>
    <w:rsid w:val="00AC2767"/>
    <w:rsid w:val="00AC3346"/>
    <w:rsid w:val="00AD05C6"/>
    <w:rsid w:val="00AD09EF"/>
    <w:rsid w:val="00AD2ED6"/>
    <w:rsid w:val="00AE6509"/>
    <w:rsid w:val="00B40F06"/>
    <w:rsid w:val="00B51CF8"/>
    <w:rsid w:val="00B52E36"/>
    <w:rsid w:val="00B53D90"/>
    <w:rsid w:val="00B62A05"/>
    <w:rsid w:val="00B63FA0"/>
    <w:rsid w:val="00B64A0B"/>
    <w:rsid w:val="00B873A7"/>
    <w:rsid w:val="00BA4897"/>
    <w:rsid w:val="00BB1F0B"/>
    <w:rsid w:val="00BD4608"/>
    <w:rsid w:val="00BE4A51"/>
    <w:rsid w:val="00C005C3"/>
    <w:rsid w:val="00C00D3B"/>
    <w:rsid w:val="00C04F8E"/>
    <w:rsid w:val="00C25734"/>
    <w:rsid w:val="00C3631C"/>
    <w:rsid w:val="00C406C5"/>
    <w:rsid w:val="00C86B52"/>
    <w:rsid w:val="00CA1BE5"/>
    <w:rsid w:val="00CA2C88"/>
    <w:rsid w:val="00CD1742"/>
    <w:rsid w:val="00CD619D"/>
    <w:rsid w:val="00CE1825"/>
    <w:rsid w:val="00CF5C9C"/>
    <w:rsid w:val="00D1441C"/>
    <w:rsid w:val="00D26556"/>
    <w:rsid w:val="00D60E4A"/>
    <w:rsid w:val="00D84F3D"/>
    <w:rsid w:val="00D94BA3"/>
    <w:rsid w:val="00DB4A14"/>
    <w:rsid w:val="00DB51B9"/>
    <w:rsid w:val="00DC1332"/>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3F70-AA5A-487B-963F-B93856CB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10725</Words>
  <Characters>64353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Jarek M</cp:lastModifiedBy>
  <cp:revision>5</cp:revision>
  <cp:lastPrinted>2019-03-28T06:07:00Z</cp:lastPrinted>
  <dcterms:created xsi:type="dcterms:W3CDTF">2019-04-18T08:57:00Z</dcterms:created>
  <dcterms:modified xsi:type="dcterms:W3CDTF">2019-04-18T11:14:00Z</dcterms:modified>
</cp:coreProperties>
</file>